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61B2B3FC" w14:textId="6EDD2127" w:rsidR="00DD76EF" w:rsidRDefault="00A436FC" w:rsidP="00EF3779">
      <w:pPr>
        <w:jc w:val="center"/>
        <w:rPr>
          <w:b/>
        </w:rPr>
      </w:pPr>
      <w:r w:rsidRPr="006B752D">
        <w:rPr>
          <w:b/>
        </w:rPr>
        <w:t xml:space="preserve">DĖL </w:t>
      </w:r>
      <w:r w:rsidR="0042357B" w:rsidRPr="0042357B">
        <w:rPr>
          <w:b/>
        </w:rPr>
        <w:t>BŪSTO NUOMOS AR IŠPERKAMOSIOS BŪSTO NUOMOS MOKESČIŲ DALIES KOMPENSACIJŲ MOKĖJIMO IR PERMOKĖTŲ KOMPENSACIJŲ GRĄŽINIMO TVARKOS APRAŠO PATVIRTINIMO</w:t>
      </w:r>
    </w:p>
    <w:p w14:paraId="120DD91F" w14:textId="77777777" w:rsidR="006B752D" w:rsidRDefault="006B752D" w:rsidP="00EF3779">
      <w:pPr>
        <w:jc w:val="center"/>
        <w:rPr>
          <w:b/>
          <w:bCs/>
        </w:rPr>
      </w:pPr>
    </w:p>
    <w:p w14:paraId="5379CF4B" w14:textId="0E2F90B7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</w:t>
      </w:r>
      <w:r w:rsidR="00ED5B31">
        <w:rPr>
          <w:bCs/>
          <w:szCs w:val="24"/>
          <w:lang w:eastAsia="ja-JP"/>
        </w:rPr>
        <w:t xml:space="preserve"> spalio 17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ED5B31">
        <w:rPr>
          <w:bCs/>
          <w:szCs w:val="24"/>
          <w:lang w:eastAsia="ja-JP"/>
        </w:rPr>
        <w:t>218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77334F04" w14:textId="6580CD8A" w:rsidR="0069487E" w:rsidRDefault="001A2926" w:rsidP="00FD6F27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</w:t>
      </w:r>
      <w:r w:rsidR="003D0C5C">
        <w:rPr>
          <w:szCs w:val="24"/>
        </w:rPr>
        <w:t>–</w:t>
      </w:r>
      <w:r w:rsidR="003A621A">
        <w:rPr>
          <w:szCs w:val="24"/>
        </w:rPr>
        <w:t xml:space="preserve"> </w:t>
      </w:r>
      <w:r w:rsidR="00881F07">
        <w:rPr>
          <w:szCs w:val="24"/>
        </w:rPr>
        <w:t>pasikeitus teisės aktų reikalavimams, patvirtinti B</w:t>
      </w:r>
      <w:r w:rsidR="00881F07" w:rsidRPr="00C24540">
        <w:rPr>
          <w:szCs w:val="24"/>
        </w:rPr>
        <w:t>ūsto nuomos ar išperkamosios būsto nuomos mokesčių dalies kompensacijų mokėjimo ir permokėtų kompensacijų grąžinimo tvarkos apraš</w:t>
      </w:r>
      <w:r w:rsidR="00881F07">
        <w:rPr>
          <w:szCs w:val="24"/>
        </w:rPr>
        <w:t>o naują redakciją</w:t>
      </w:r>
      <w:r w:rsidR="009B55DD">
        <w:rPr>
          <w:szCs w:val="24"/>
        </w:rPr>
        <w:t>, o</w:t>
      </w:r>
      <w:r w:rsidR="001B68B3" w:rsidRPr="001B68B3">
        <w:rPr>
          <w:szCs w:val="24"/>
        </w:rPr>
        <w:t xml:space="preserve"> </w:t>
      </w:r>
      <w:r w:rsidR="009B55DD">
        <w:rPr>
          <w:szCs w:val="24"/>
        </w:rPr>
        <w:t xml:space="preserve">Skuodo rajono savivaldybės tarybos </w:t>
      </w:r>
      <w:r w:rsidR="00C24540" w:rsidRPr="00C24540">
        <w:rPr>
          <w:szCs w:val="24"/>
        </w:rPr>
        <w:t>2015 m. birželio 26 d. sprendim</w:t>
      </w:r>
      <w:r w:rsidR="009B55DD">
        <w:rPr>
          <w:szCs w:val="24"/>
        </w:rPr>
        <w:t>ą</w:t>
      </w:r>
      <w:r w:rsidR="00C24540">
        <w:rPr>
          <w:szCs w:val="24"/>
        </w:rPr>
        <w:t xml:space="preserve"> </w:t>
      </w:r>
      <w:r w:rsidR="00C24540" w:rsidRPr="00C24540">
        <w:rPr>
          <w:szCs w:val="24"/>
        </w:rPr>
        <w:t xml:space="preserve">Nr. T9-126 „Dėl </w:t>
      </w:r>
      <w:r w:rsidR="009B55DD">
        <w:rPr>
          <w:szCs w:val="24"/>
        </w:rPr>
        <w:t>B</w:t>
      </w:r>
      <w:r w:rsidR="00C24540" w:rsidRPr="00C24540">
        <w:rPr>
          <w:szCs w:val="24"/>
        </w:rPr>
        <w:t>ūsto nuomos ar išperkamosios būsto nuomos mokesčių dalies kompensacijų mokėjimo ir permokėtų kompensacijų grąžinimo tvarkos aprašo patvirtinimo</w:t>
      </w:r>
      <w:r w:rsidR="00C24540">
        <w:rPr>
          <w:szCs w:val="24"/>
        </w:rPr>
        <w:t xml:space="preserve">“ </w:t>
      </w:r>
      <w:r w:rsidR="009B55DD">
        <w:rPr>
          <w:szCs w:val="24"/>
        </w:rPr>
        <w:t>pripažinti netekusiu galios.</w:t>
      </w:r>
    </w:p>
    <w:p w14:paraId="5B47BF61" w14:textId="51CF7E7E" w:rsidR="00416F40" w:rsidRPr="00D83748" w:rsidRDefault="005F2537" w:rsidP="00D86E05">
      <w:pPr>
        <w:pStyle w:val="Betarp"/>
        <w:ind w:firstLine="1247"/>
        <w:jc w:val="both"/>
        <w:rPr>
          <w:color w:val="000000"/>
        </w:rPr>
      </w:pPr>
      <w:r>
        <w:t xml:space="preserve">Pagal šiuo metu galiojančius teisės aktus </w:t>
      </w:r>
      <w:r w:rsidR="002D2ECA">
        <w:t>–</w:t>
      </w:r>
      <w:r>
        <w:t xml:space="preserve"> </w:t>
      </w:r>
      <w:r w:rsidR="00D86E05" w:rsidRPr="00D86E05">
        <w:t xml:space="preserve">Lietuvos Respublikos </w:t>
      </w:r>
      <w:r w:rsidR="001B68B3">
        <w:t>vietos savivaldos</w:t>
      </w:r>
      <w:r w:rsidR="00D86E05">
        <w:t xml:space="preserve"> </w:t>
      </w:r>
      <w:r w:rsidR="00D86E05" w:rsidRPr="00D86E05">
        <w:t>įstatym</w:t>
      </w:r>
      <w:r w:rsidR="00D86E05">
        <w:t xml:space="preserve">ą, </w:t>
      </w:r>
      <w:r w:rsidR="001B68B3">
        <w:t xml:space="preserve">Lietuvos Respublikos </w:t>
      </w:r>
      <w:r w:rsidR="001B68B3" w:rsidRPr="001B68B3">
        <w:t>paramos būstui įsigyti ar išsinuomoti įstatym</w:t>
      </w:r>
      <w:r w:rsidR="001B68B3">
        <w:t>ą</w:t>
      </w:r>
      <w:r w:rsidR="0009040D">
        <w:t>,</w:t>
      </w:r>
      <w:r w:rsidR="001B68B3" w:rsidRPr="001B68B3">
        <w:t xml:space="preserve"> </w:t>
      </w:r>
      <w:r w:rsidR="001B5BE3">
        <w:t xml:space="preserve">sprendimą dėl </w:t>
      </w:r>
      <w:r w:rsidR="001B68B3" w:rsidRPr="001B68B3">
        <w:t>Būsto nuomos ar išperkamosios būsto nuomos mokesčių dalies kompensacijų mokėjimo ir permokėtų kompensacijų grąžinimo tvarkos apraš</w:t>
      </w:r>
      <w:r w:rsidR="001B68B3">
        <w:t>o patvirtinimo</w:t>
      </w:r>
      <w:r w:rsidR="001B68B3" w:rsidRPr="001B68B3">
        <w:t xml:space="preserve"> </w:t>
      </w:r>
      <w:r w:rsidR="001B5BE3">
        <w:t xml:space="preserve">priima </w:t>
      </w:r>
      <w:r w:rsidR="0009040D">
        <w:t>S</w:t>
      </w:r>
      <w:r w:rsidR="001B5BE3">
        <w:t xml:space="preserve">avivaldybės taryba. </w:t>
      </w:r>
    </w:p>
    <w:p w14:paraId="6D57F442" w14:textId="77777777" w:rsidR="002D2ECA" w:rsidRDefault="002D2ECA" w:rsidP="00D83748">
      <w:pPr>
        <w:ind w:firstLine="1247"/>
        <w:jc w:val="both"/>
        <w:rPr>
          <w:b/>
          <w:szCs w:val="24"/>
        </w:rPr>
      </w:pPr>
    </w:p>
    <w:p w14:paraId="16E39858" w14:textId="6E5FD414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08576603" w14:textId="29ED2A19" w:rsidR="0069487E" w:rsidRDefault="001B68B3" w:rsidP="003A621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1B68B3">
        <w:rPr>
          <w:szCs w:val="24"/>
          <w:lang w:val="lt-LT"/>
        </w:rPr>
        <w:t>Lietuvos Respublikos vietos savivaldos įstatymo 6 straipsnio 15 punkt</w:t>
      </w:r>
      <w:r>
        <w:rPr>
          <w:szCs w:val="24"/>
          <w:lang w:val="lt-LT"/>
        </w:rPr>
        <w:t>as</w:t>
      </w:r>
      <w:r w:rsidRPr="001B68B3">
        <w:rPr>
          <w:szCs w:val="24"/>
          <w:lang w:val="lt-LT"/>
        </w:rPr>
        <w:t>, 15 straipsnio 2 dalies 23 ir 30 punktai, 16 straipsnio 1 dali</w:t>
      </w:r>
      <w:r>
        <w:rPr>
          <w:szCs w:val="24"/>
          <w:lang w:val="lt-LT"/>
        </w:rPr>
        <w:t>s</w:t>
      </w:r>
      <w:r w:rsidRPr="001B68B3">
        <w:rPr>
          <w:szCs w:val="24"/>
          <w:lang w:val="lt-LT"/>
        </w:rPr>
        <w:t xml:space="preserve">, Lietuvos Respublikos paramos būstui įsigyti ar išsinuomoti įstatymo 4 straipsnio 4 </w:t>
      </w:r>
      <w:r w:rsidRPr="00852CF2">
        <w:rPr>
          <w:szCs w:val="24"/>
          <w:lang w:val="lt-LT"/>
        </w:rPr>
        <w:t>dalis,</w:t>
      </w:r>
      <w:r w:rsidR="00852CF2" w:rsidRPr="00852CF2">
        <w:rPr>
          <w:szCs w:val="24"/>
          <w:lang w:val="lt-LT"/>
        </w:rPr>
        <w:t xml:space="preserve"> Lietuvos Respublikos Vyriausybės 2001 m. balandžio 25 d. nutarimas Nr. 472 </w:t>
      </w:r>
      <w:r w:rsidRPr="00852CF2">
        <w:rPr>
          <w:szCs w:val="24"/>
          <w:lang w:val="lt-LT"/>
        </w:rPr>
        <w:t>„</w:t>
      </w:r>
      <w:r w:rsidR="00852CF2" w:rsidRPr="00852CF2">
        <w:rPr>
          <w:szCs w:val="24"/>
          <w:lang w:val="lt-LT"/>
        </w:rPr>
        <w:t>Dėl Socialinio būsto ir kito savivaldybės būsto nuomos mokesčių apskaičiavimo metodikos patvirtinimo</w:t>
      </w:r>
      <w:r w:rsidRPr="001B68B3">
        <w:rPr>
          <w:szCs w:val="24"/>
          <w:lang w:val="lt-LT"/>
        </w:rPr>
        <w:t>“, Valstybės iš dalies kompensuojamų būsto kreditų teikimo ir subsidijų valstybės iš dalies kompensuojamų būsto kreditų daliai apmokėti teikimo tvarkos apraš</w:t>
      </w:r>
      <w:r>
        <w:rPr>
          <w:szCs w:val="24"/>
          <w:lang w:val="lt-LT"/>
        </w:rPr>
        <w:t>as</w:t>
      </w:r>
      <w:r w:rsidRPr="001B68B3">
        <w:rPr>
          <w:szCs w:val="24"/>
          <w:lang w:val="lt-LT"/>
        </w:rPr>
        <w:t xml:space="preserve">, </w:t>
      </w:r>
      <w:r>
        <w:rPr>
          <w:szCs w:val="24"/>
          <w:lang w:val="lt-LT"/>
        </w:rPr>
        <w:t xml:space="preserve">patvirtintas </w:t>
      </w:r>
      <w:r w:rsidRPr="001B68B3">
        <w:rPr>
          <w:szCs w:val="24"/>
          <w:lang w:val="lt-LT"/>
        </w:rPr>
        <w:t xml:space="preserve">Lietuvos Respublikos </w:t>
      </w:r>
      <w:r w:rsidR="0009040D">
        <w:rPr>
          <w:szCs w:val="24"/>
          <w:lang w:val="lt-LT"/>
        </w:rPr>
        <w:t>s</w:t>
      </w:r>
      <w:r w:rsidRPr="001B68B3">
        <w:rPr>
          <w:szCs w:val="24"/>
          <w:lang w:val="lt-LT"/>
        </w:rPr>
        <w:t xml:space="preserve">ocialinės apsaugos ir darbo ministro 2022 m. balandžio 12 d. įsakymu Nr. A1-267 „Dėl </w:t>
      </w:r>
      <w:r w:rsidR="0009040D">
        <w:rPr>
          <w:szCs w:val="24"/>
          <w:lang w:val="lt-LT"/>
        </w:rPr>
        <w:t>V</w:t>
      </w:r>
      <w:r w:rsidRPr="001B68B3">
        <w:rPr>
          <w:szCs w:val="24"/>
          <w:lang w:val="lt-LT"/>
        </w:rPr>
        <w:t>alstybės iš dalies kompensuojamų būsto kreditų teikimo ir subsidijų valstybės iš dalies kompensuojamų būsto kreditų daliai apmokėti teikimo tvarkos aprašo patvirtinimo“</w:t>
      </w:r>
      <w:r w:rsidR="003A621A">
        <w:rPr>
          <w:szCs w:val="24"/>
          <w:lang w:val="lt-LT"/>
        </w:rPr>
        <w:t>.</w:t>
      </w:r>
      <w:r w:rsidR="003A621A" w:rsidRPr="003A621A">
        <w:rPr>
          <w:szCs w:val="24"/>
          <w:lang w:val="lt-LT"/>
        </w:rPr>
        <w:t xml:space="preserve"> </w:t>
      </w:r>
    </w:p>
    <w:p w14:paraId="0D020CCE" w14:textId="77777777" w:rsidR="0069487E" w:rsidRDefault="0069487E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</w:p>
    <w:p w14:paraId="74D9E91D" w14:textId="1BF12415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0E32F5A2" w14:textId="1A629A8C" w:rsidR="002D489A" w:rsidRDefault="0009040D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P</w:t>
      </w:r>
      <w:r w:rsidR="00451841">
        <w:rPr>
          <w:szCs w:val="24"/>
          <w:lang w:val="lt-LT"/>
        </w:rPr>
        <w:t>atvirtint</w:t>
      </w:r>
      <w:r>
        <w:rPr>
          <w:szCs w:val="24"/>
          <w:lang w:val="lt-LT"/>
        </w:rPr>
        <w:t>as</w:t>
      </w:r>
      <w:r w:rsidR="001B68B3">
        <w:rPr>
          <w:szCs w:val="24"/>
          <w:lang w:val="lt-LT"/>
        </w:rPr>
        <w:t xml:space="preserve"> </w:t>
      </w:r>
      <w:r w:rsidR="001B68B3" w:rsidRPr="001B68B3">
        <w:rPr>
          <w:szCs w:val="24"/>
          <w:lang w:val="lt-LT"/>
        </w:rPr>
        <w:t>Būsto nuomos ar išperkamosios būsto nuomos mokesčių dalies kompensacijų mokėjimo ir permokėtų kompensacijų grąžinimo tvarkos apraš</w:t>
      </w:r>
      <w:r>
        <w:rPr>
          <w:szCs w:val="24"/>
          <w:lang w:val="lt-LT"/>
        </w:rPr>
        <w:t>as</w:t>
      </w:r>
      <w:r w:rsidR="00C24540">
        <w:rPr>
          <w:szCs w:val="24"/>
          <w:lang w:val="lt-LT"/>
        </w:rPr>
        <w:t>.</w:t>
      </w:r>
    </w:p>
    <w:p w14:paraId="1922DF8E" w14:textId="77777777" w:rsidR="002D2ECA" w:rsidRDefault="002D2EC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3A34DD84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5F01D804" w:rsidR="00883082" w:rsidRDefault="005F2E1F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Lėšų poreikis sprendimo įgyvendinimui</w:t>
      </w:r>
      <w:r w:rsidR="001B68B3">
        <w:rPr>
          <w:szCs w:val="24"/>
          <w:lang w:val="lt-LT"/>
        </w:rPr>
        <w:t xml:space="preserve"> nėra</w:t>
      </w:r>
      <w:r w:rsidR="00A436FC">
        <w:rPr>
          <w:szCs w:val="24"/>
          <w:lang w:val="lt-LT"/>
        </w:rPr>
        <w:t>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4B9F613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D7B6A" w14:textId="77777777" w:rsidR="00D85BFE" w:rsidRDefault="00D85BFE">
      <w:r>
        <w:separator/>
      </w:r>
    </w:p>
  </w:endnote>
  <w:endnote w:type="continuationSeparator" w:id="0">
    <w:p w14:paraId="5983B70E" w14:textId="77777777" w:rsidR="00D85BFE" w:rsidRDefault="00D85BFE">
      <w:r>
        <w:continuationSeparator/>
      </w:r>
    </w:p>
  </w:endnote>
  <w:endnote w:type="continuationNotice" w:id="1">
    <w:p w14:paraId="39D5EED4" w14:textId="77777777" w:rsidR="00D85BFE" w:rsidRDefault="00D85B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8E4BB" w14:textId="77777777" w:rsidR="00D85BFE" w:rsidRDefault="00D85BFE">
      <w:r>
        <w:separator/>
      </w:r>
    </w:p>
  </w:footnote>
  <w:footnote w:type="continuationSeparator" w:id="0">
    <w:p w14:paraId="1140DE03" w14:textId="77777777" w:rsidR="00D85BFE" w:rsidRDefault="00D85BFE">
      <w:r>
        <w:continuationSeparator/>
      </w:r>
    </w:p>
  </w:footnote>
  <w:footnote w:type="continuationNotice" w:id="1">
    <w:p w14:paraId="77C8A129" w14:textId="77777777" w:rsidR="00D85BFE" w:rsidRDefault="00D85B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03646696">
    <w:abstractNumId w:val="1"/>
  </w:num>
  <w:num w:numId="2" w16cid:durableId="237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9040D"/>
    <w:rsid w:val="000A0BE7"/>
    <w:rsid w:val="000A4850"/>
    <w:rsid w:val="000D4EA9"/>
    <w:rsid w:val="000D63EA"/>
    <w:rsid w:val="000E69C5"/>
    <w:rsid w:val="00117501"/>
    <w:rsid w:val="00146F25"/>
    <w:rsid w:val="00155EDE"/>
    <w:rsid w:val="0017265A"/>
    <w:rsid w:val="0017335D"/>
    <w:rsid w:val="0017602F"/>
    <w:rsid w:val="00183B58"/>
    <w:rsid w:val="00196E86"/>
    <w:rsid w:val="001A2926"/>
    <w:rsid w:val="001A3EBD"/>
    <w:rsid w:val="001B5BE3"/>
    <w:rsid w:val="001B68B3"/>
    <w:rsid w:val="001C5FB8"/>
    <w:rsid w:val="001C7313"/>
    <w:rsid w:val="00225979"/>
    <w:rsid w:val="00234113"/>
    <w:rsid w:val="0027597B"/>
    <w:rsid w:val="002879F7"/>
    <w:rsid w:val="002B2386"/>
    <w:rsid w:val="002C6C0E"/>
    <w:rsid w:val="002D2ECA"/>
    <w:rsid w:val="002D489A"/>
    <w:rsid w:val="002D5A71"/>
    <w:rsid w:val="002F2DBB"/>
    <w:rsid w:val="0030263D"/>
    <w:rsid w:val="0032613C"/>
    <w:rsid w:val="00335EF8"/>
    <w:rsid w:val="00364D8F"/>
    <w:rsid w:val="00370D00"/>
    <w:rsid w:val="0039021D"/>
    <w:rsid w:val="003903E6"/>
    <w:rsid w:val="0039581A"/>
    <w:rsid w:val="003A1CCC"/>
    <w:rsid w:val="003A4094"/>
    <w:rsid w:val="003A621A"/>
    <w:rsid w:val="003B1C18"/>
    <w:rsid w:val="003D0C5C"/>
    <w:rsid w:val="003D35DF"/>
    <w:rsid w:val="003F121C"/>
    <w:rsid w:val="004033E7"/>
    <w:rsid w:val="0041042C"/>
    <w:rsid w:val="00416F40"/>
    <w:rsid w:val="004231F8"/>
    <w:rsid w:val="0042357B"/>
    <w:rsid w:val="0042655E"/>
    <w:rsid w:val="00451841"/>
    <w:rsid w:val="004523A2"/>
    <w:rsid w:val="004625F9"/>
    <w:rsid w:val="00492CB6"/>
    <w:rsid w:val="004A6A3B"/>
    <w:rsid w:val="004B326A"/>
    <w:rsid w:val="004C56B4"/>
    <w:rsid w:val="004D6855"/>
    <w:rsid w:val="004F6430"/>
    <w:rsid w:val="004F7B48"/>
    <w:rsid w:val="0051195C"/>
    <w:rsid w:val="00511C68"/>
    <w:rsid w:val="00520FF9"/>
    <w:rsid w:val="005358A4"/>
    <w:rsid w:val="00560D48"/>
    <w:rsid w:val="00575105"/>
    <w:rsid w:val="00593804"/>
    <w:rsid w:val="005942C4"/>
    <w:rsid w:val="005A5CB5"/>
    <w:rsid w:val="005B2B54"/>
    <w:rsid w:val="005C19A7"/>
    <w:rsid w:val="005D2637"/>
    <w:rsid w:val="005D2C4A"/>
    <w:rsid w:val="005F2537"/>
    <w:rsid w:val="005F2E1F"/>
    <w:rsid w:val="0061685F"/>
    <w:rsid w:val="0069487E"/>
    <w:rsid w:val="00695504"/>
    <w:rsid w:val="0069751D"/>
    <w:rsid w:val="006A3005"/>
    <w:rsid w:val="006B01FF"/>
    <w:rsid w:val="006B752D"/>
    <w:rsid w:val="006B7583"/>
    <w:rsid w:val="006C20EC"/>
    <w:rsid w:val="007064C5"/>
    <w:rsid w:val="00706EDB"/>
    <w:rsid w:val="00724115"/>
    <w:rsid w:val="00736A9F"/>
    <w:rsid w:val="007457B2"/>
    <w:rsid w:val="00753CCA"/>
    <w:rsid w:val="0075589C"/>
    <w:rsid w:val="007574E0"/>
    <w:rsid w:val="007577F7"/>
    <w:rsid w:val="00797FAD"/>
    <w:rsid w:val="007A21DA"/>
    <w:rsid w:val="007A4A07"/>
    <w:rsid w:val="007C22EA"/>
    <w:rsid w:val="007F45BD"/>
    <w:rsid w:val="007F6D98"/>
    <w:rsid w:val="008057B7"/>
    <w:rsid w:val="00805A3E"/>
    <w:rsid w:val="00817F68"/>
    <w:rsid w:val="00827DF9"/>
    <w:rsid w:val="00841F2D"/>
    <w:rsid w:val="00846ABD"/>
    <w:rsid w:val="00852CF2"/>
    <w:rsid w:val="00875106"/>
    <w:rsid w:val="0088041F"/>
    <w:rsid w:val="008805D4"/>
    <w:rsid w:val="00881F07"/>
    <w:rsid w:val="00882975"/>
    <w:rsid w:val="00883082"/>
    <w:rsid w:val="008979FE"/>
    <w:rsid w:val="008C34A7"/>
    <w:rsid w:val="008C36D2"/>
    <w:rsid w:val="008D640F"/>
    <w:rsid w:val="008E7127"/>
    <w:rsid w:val="00917DBF"/>
    <w:rsid w:val="009568C0"/>
    <w:rsid w:val="00985474"/>
    <w:rsid w:val="009A2544"/>
    <w:rsid w:val="009A54FC"/>
    <w:rsid w:val="009B55DD"/>
    <w:rsid w:val="009C1529"/>
    <w:rsid w:val="009E5E42"/>
    <w:rsid w:val="009E7935"/>
    <w:rsid w:val="00A23A63"/>
    <w:rsid w:val="00A34DCA"/>
    <w:rsid w:val="00A436FC"/>
    <w:rsid w:val="00A44CB7"/>
    <w:rsid w:val="00A77E12"/>
    <w:rsid w:val="00A82B97"/>
    <w:rsid w:val="00A84CEC"/>
    <w:rsid w:val="00AA1ED6"/>
    <w:rsid w:val="00AA2CB1"/>
    <w:rsid w:val="00AA6FF3"/>
    <w:rsid w:val="00AD78CB"/>
    <w:rsid w:val="00AF5BE9"/>
    <w:rsid w:val="00AF74CC"/>
    <w:rsid w:val="00B02136"/>
    <w:rsid w:val="00B74847"/>
    <w:rsid w:val="00B9412D"/>
    <w:rsid w:val="00BA16B9"/>
    <w:rsid w:val="00BB3770"/>
    <w:rsid w:val="00BB61DF"/>
    <w:rsid w:val="00BC07AB"/>
    <w:rsid w:val="00BC4AF7"/>
    <w:rsid w:val="00BD3041"/>
    <w:rsid w:val="00C010D0"/>
    <w:rsid w:val="00C047B3"/>
    <w:rsid w:val="00C04D5E"/>
    <w:rsid w:val="00C1325D"/>
    <w:rsid w:val="00C24540"/>
    <w:rsid w:val="00C31107"/>
    <w:rsid w:val="00C31901"/>
    <w:rsid w:val="00C446E7"/>
    <w:rsid w:val="00C57E85"/>
    <w:rsid w:val="00C845DA"/>
    <w:rsid w:val="00C850FE"/>
    <w:rsid w:val="00C934B6"/>
    <w:rsid w:val="00C96BE2"/>
    <w:rsid w:val="00CC4AEF"/>
    <w:rsid w:val="00CF3596"/>
    <w:rsid w:val="00CF6431"/>
    <w:rsid w:val="00D0305C"/>
    <w:rsid w:val="00D1502E"/>
    <w:rsid w:val="00D27DDB"/>
    <w:rsid w:val="00D7256B"/>
    <w:rsid w:val="00D81260"/>
    <w:rsid w:val="00D83748"/>
    <w:rsid w:val="00D85BFE"/>
    <w:rsid w:val="00D86E05"/>
    <w:rsid w:val="00DB381D"/>
    <w:rsid w:val="00DC0529"/>
    <w:rsid w:val="00DD2197"/>
    <w:rsid w:val="00DD76EF"/>
    <w:rsid w:val="00DF21F7"/>
    <w:rsid w:val="00E07A5A"/>
    <w:rsid w:val="00E23E4B"/>
    <w:rsid w:val="00E26FCD"/>
    <w:rsid w:val="00E44101"/>
    <w:rsid w:val="00E74AB9"/>
    <w:rsid w:val="00EA1C54"/>
    <w:rsid w:val="00EB059C"/>
    <w:rsid w:val="00EB3640"/>
    <w:rsid w:val="00EB3CD8"/>
    <w:rsid w:val="00EC0799"/>
    <w:rsid w:val="00ED5B31"/>
    <w:rsid w:val="00EE5498"/>
    <w:rsid w:val="00EF3779"/>
    <w:rsid w:val="00EF6C06"/>
    <w:rsid w:val="00EF7D96"/>
    <w:rsid w:val="00F16DC1"/>
    <w:rsid w:val="00F22E81"/>
    <w:rsid w:val="00F46BA7"/>
    <w:rsid w:val="00FB77F4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D86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1650</Words>
  <Characters>941</Characters>
  <Application>Microsoft Office Word</Application>
  <DocSecurity>4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2024-10-17T12:52:00Z</dcterms:created>
  <dcterms:modified xsi:type="dcterms:W3CDTF">2024-10-17T12:52:00Z</dcterms:modified>
</cp:coreProperties>
</file>